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rPr>
      </w:pPr>
      <w:r w:rsidDel="00000000" w:rsidR="00000000" w:rsidRPr="00000000">
        <w:rPr>
          <w:b w:val="1"/>
          <w:sz w:val="42"/>
          <w:szCs w:val="42"/>
          <w:rtl w:val="0"/>
        </w:rPr>
        <w:t xml:space="preserve">When You Might Use Data</w:t>
      </w:r>
    </w:p>
    <w:p w:rsidR="00000000" w:rsidDel="00000000" w:rsidP="00000000" w:rsidRDefault="00000000" w:rsidRPr="00000000" w14:paraId="00000002">
      <w:pPr>
        <w:jc w:val="cente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Example of Data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 Coaching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w:t>
            </w:r>
            <w:hyperlink r:id="rId6">
              <w:r w:rsidDel="00000000" w:rsidR="00000000" w:rsidRPr="00000000">
                <w:rPr>
                  <w:color w:val="1155cc"/>
                  <w:u w:val="single"/>
                  <w:rtl w:val="0"/>
                </w:rPr>
                <w:t xml:space="preserve">Individual Coaching Cycle Data Collection Sheet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sets a goal around an instructional practice to implement. The student data determines effectiveness.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Group (Team) Coaching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Acadiance Nonsense Word Fluency Words Recoded Correctly for the whole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a team, teachers set a collective goal for how many students will meet the MOY benchmark for recoding words and commit to moving away from teaching sound by sound blending to teaching students more advanced blending 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Small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Strive’s PDSA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Collecting data over a ten day cycle will inform next steps for readers in a small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Whole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Acadiance Oral Reading Fluency for an individual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classroom teacher can monitor student progress on fluency and use the data to make decisions about tier one instruction.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perception data collected through a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Leadership team creates goals to improve students’ sense of belonging</w:t>
            </w:r>
          </w:p>
        </w:tc>
      </w:tr>
    </w:tbl>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07sNA3xVEZyr9DG1EJXhsnwyY_tJUK74MSnXgX57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